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bookmarkStart w:id="0" w:name="_GoBack"/>
      <w:bookmarkEnd w:id="0"/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1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1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2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2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>nie będzie możliwe otrzymanie kolejnego zaświadczenia,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zaświadczenia, ani wzięcie udziału w głosowaniu w obwodzie, </w:t>
      </w:r>
      <w:bookmarkStart w:id="3" w:name="_Hlk141781574"/>
      <w:r w:rsidRPr="00BF7E62">
        <w:rPr>
          <w:sz w:val="26"/>
          <w:szCs w:val="26"/>
        </w:rPr>
        <w:t>w którym uprzednio było się ujętym w spisie</w:t>
      </w:r>
      <w:bookmarkEnd w:id="3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>, z tym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>zastosowanie odpowiednie zasady wskazane w części dotyczącej głosowania za granicą, z tym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2C93" w14:textId="77777777" w:rsidR="00DA48EF" w:rsidRDefault="00DA48EF">
      <w:r>
        <w:separator/>
      </w:r>
    </w:p>
  </w:endnote>
  <w:endnote w:type="continuationSeparator" w:id="0">
    <w:p w14:paraId="793976FD" w14:textId="77777777" w:rsidR="00DA48EF" w:rsidRDefault="00DA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342D0" w14:textId="77777777" w:rsidR="00DA48EF" w:rsidRDefault="00DA48EF">
      <w:r>
        <w:separator/>
      </w:r>
    </w:p>
  </w:footnote>
  <w:footnote w:type="continuationSeparator" w:id="0">
    <w:p w14:paraId="076A7C77" w14:textId="77777777" w:rsidR="00DA48EF" w:rsidRDefault="00DA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94505" w14:textId="77777777" w:rsidR="00EF6FB7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EF6FB7" w:rsidRDefault="00DA48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13ED" w14:textId="08BF191C" w:rsidR="00EF6FB7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2B1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EF6FB7" w:rsidRDefault="00DA48EF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CA"/>
    <w:rsid w:val="00084260"/>
    <w:rsid w:val="0010442D"/>
    <w:rsid w:val="00114F89"/>
    <w:rsid w:val="001F20CD"/>
    <w:rsid w:val="00215A29"/>
    <w:rsid w:val="005C3AA7"/>
    <w:rsid w:val="005D11CA"/>
    <w:rsid w:val="005D49B5"/>
    <w:rsid w:val="00650BE3"/>
    <w:rsid w:val="0069678B"/>
    <w:rsid w:val="00711317"/>
    <w:rsid w:val="0072155F"/>
    <w:rsid w:val="0081056E"/>
    <w:rsid w:val="00811FF3"/>
    <w:rsid w:val="00853DA6"/>
    <w:rsid w:val="008D03B8"/>
    <w:rsid w:val="00921CA4"/>
    <w:rsid w:val="00962B0A"/>
    <w:rsid w:val="009D6A19"/>
    <w:rsid w:val="009F02B1"/>
    <w:rsid w:val="00A42578"/>
    <w:rsid w:val="00AB674A"/>
    <w:rsid w:val="00AE2D72"/>
    <w:rsid w:val="00AE47F9"/>
    <w:rsid w:val="00B37484"/>
    <w:rsid w:val="00B451D4"/>
    <w:rsid w:val="00C2560D"/>
    <w:rsid w:val="00D16859"/>
    <w:rsid w:val="00D32490"/>
    <w:rsid w:val="00DA48EF"/>
    <w:rsid w:val="00E328BE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2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2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Anna Podlewska</cp:lastModifiedBy>
  <cp:revision>2</cp:revision>
  <cp:lastPrinted>2025-01-22T12:47:00Z</cp:lastPrinted>
  <dcterms:created xsi:type="dcterms:W3CDTF">2025-01-22T12:48:00Z</dcterms:created>
  <dcterms:modified xsi:type="dcterms:W3CDTF">2025-01-22T12:48:00Z</dcterms:modified>
</cp:coreProperties>
</file>